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65D87552"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126CAD">
        <w:rPr>
          <w:rFonts w:ascii="Verdana" w:hAnsi="Verdana"/>
          <w:b/>
          <w:sz w:val="22"/>
          <w:szCs w:val="22"/>
        </w:rPr>
        <w:t>6</w:t>
      </w:r>
      <w:r w:rsidR="00A5515E">
        <w:rPr>
          <w:rFonts w:ascii="Verdana" w:hAnsi="Verdana"/>
          <w:b/>
          <w:sz w:val="22"/>
          <w:szCs w:val="22"/>
        </w:rPr>
        <w:t>5</w:t>
      </w:r>
      <w:r w:rsidR="00486AF8">
        <w:rPr>
          <w:rFonts w:ascii="Verdana" w:hAnsi="Verdana"/>
          <w:b/>
          <w:sz w:val="22"/>
          <w:szCs w:val="22"/>
        </w:rPr>
        <w:t>2</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55DBB1D7"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486AF8">
        <w:rPr>
          <w:rFonts w:ascii="Verdana" w:hAnsi="Verdana"/>
          <w:color w:val="000000" w:themeColor="text1"/>
          <w:sz w:val="18"/>
          <w:szCs w:val="18"/>
        </w:rPr>
        <w:t>SANITALIA CARE SRL</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20CB76C" w14:textId="79EA1852" w:rsidR="003D15FD" w:rsidRDefault="003D15FD" w:rsidP="00420D3F">
      <w:pPr>
        <w:framePr w:w="2041" w:h="4993" w:hRule="exact" w:hSpace="180" w:wrap="around" w:vAnchor="text" w:hAnchor="page" w:x="656" w:y="-370"/>
        <w:ind w:right="140"/>
        <w:jc w:val="both"/>
        <w:rPr>
          <w:rFonts w:ascii="Verdana" w:hAnsi="Verdana"/>
          <w:b/>
          <w:sz w:val="22"/>
          <w:szCs w:val="22"/>
        </w:rPr>
      </w:pPr>
      <w:r w:rsidRPr="003D15FD">
        <w:rPr>
          <w:rFonts w:ascii="Verdana" w:hAnsi="Verdana"/>
          <w:b/>
          <w:sz w:val="18"/>
          <w:szCs w:val="18"/>
        </w:rPr>
        <w:t>CIG</w:t>
      </w:r>
      <w:r w:rsidR="00486AF8">
        <w:rPr>
          <w:rFonts w:ascii="Verdana" w:hAnsi="Verdana"/>
          <w:b/>
          <w:sz w:val="18"/>
          <w:szCs w:val="18"/>
        </w:rPr>
        <w:t xml:space="preserve"> Z083CCBCA1</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0DAA252A"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486AF8">
        <w:rPr>
          <w:rFonts w:ascii="Verdana" w:hAnsi="Verdana"/>
          <w:color w:val="000000" w:themeColor="text1"/>
          <w:sz w:val="20"/>
          <w:szCs w:val="20"/>
        </w:rPr>
        <w:t>fili di sutura per uso professionale chirurgico di cui all.to preventivo 59/23 del 26.09.2023</w:t>
      </w:r>
      <w:r w:rsidR="002B7A43">
        <w:rPr>
          <w:rFonts w:ascii="Verdana" w:hAnsi="Verdana"/>
          <w:color w:val="000000" w:themeColor="text1"/>
          <w:sz w:val="20"/>
          <w:szCs w:val="20"/>
        </w:rPr>
        <w:t xml:space="preserve"> </w:t>
      </w:r>
      <w:r w:rsidRPr="00802AFF">
        <w:rPr>
          <w:rFonts w:ascii="Verdana" w:hAnsi="Verdana"/>
          <w:color w:val="000000" w:themeColor="text1"/>
          <w:sz w:val="20"/>
          <w:szCs w:val="20"/>
        </w:rPr>
        <w:t xml:space="preserve">per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370018F"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6A67B730"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w:t>
      </w:r>
      <w:r w:rsidR="00950768">
        <w:rPr>
          <w:rFonts w:ascii="Verdana" w:hAnsi="Verdana"/>
          <w:b/>
          <w:color w:val="000000" w:themeColor="text1"/>
          <w:sz w:val="20"/>
          <w:szCs w:val="20"/>
        </w:rPr>
        <w:t>o</w:t>
      </w:r>
      <w:r w:rsidRPr="00802AFF">
        <w:rPr>
          <w:rFonts w:ascii="Verdana" w:hAnsi="Verdana"/>
          <w:color w:val="000000" w:themeColor="text1"/>
          <w:sz w:val="20"/>
          <w:szCs w:val="20"/>
        </w:rPr>
        <w:t xml:space="preserve"> i</w:t>
      </w:r>
      <w:r w:rsidR="00950768">
        <w:rPr>
          <w:rFonts w:ascii="Verdana" w:hAnsi="Verdana"/>
          <w:color w:val="000000" w:themeColor="text1"/>
          <w:sz w:val="20"/>
          <w:szCs w:val="20"/>
        </w:rPr>
        <w:t>l</w:t>
      </w:r>
      <w:r w:rsidRPr="00802AFF">
        <w:rPr>
          <w:rFonts w:ascii="Verdana" w:hAnsi="Verdana"/>
          <w:color w:val="000000" w:themeColor="text1"/>
          <w:sz w:val="20"/>
          <w:szCs w:val="20"/>
        </w:rPr>
        <w:t xml:space="preserve"> preventiv</w:t>
      </w:r>
      <w:r w:rsidR="00950768">
        <w:rPr>
          <w:rFonts w:ascii="Verdana" w:hAnsi="Verdana"/>
          <w:color w:val="000000" w:themeColor="text1"/>
          <w:sz w:val="20"/>
          <w:szCs w:val="20"/>
        </w:rPr>
        <w:t>o</w:t>
      </w:r>
      <w:r w:rsidRPr="00802AFF">
        <w:rPr>
          <w:rFonts w:ascii="Verdana" w:hAnsi="Verdana"/>
          <w:color w:val="000000" w:themeColor="text1"/>
          <w:sz w:val="20"/>
          <w:szCs w:val="20"/>
        </w:rPr>
        <w:t xml:space="preserve"> </w:t>
      </w:r>
      <w:r w:rsidR="00486AF8">
        <w:rPr>
          <w:rFonts w:ascii="Verdana" w:hAnsi="Verdana"/>
          <w:color w:val="000000" w:themeColor="text1"/>
          <w:sz w:val="20"/>
          <w:szCs w:val="20"/>
        </w:rPr>
        <w:t>59/23 del 26.09.2023</w:t>
      </w:r>
      <w:r w:rsidR="00420D3F">
        <w:rPr>
          <w:rFonts w:ascii="Verdana" w:hAnsi="Verdana"/>
          <w:color w:val="000000" w:themeColor="text1"/>
          <w:sz w:val="20"/>
          <w:szCs w:val="20"/>
        </w:rPr>
        <w:t xml:space="preserve"> </w:t>
      </w:r>
      <w:bookmarkStart w:id="3" w:name="_GoBack"/>
      <w:bookmarkEnd w:id="3"/>
      <w:r w:rsidRPr="00802AFF">
        <w:rPr>
          <w:rFonts w:ascii="Verdana" w:hAnsi="Verdana"/>
          <w:color w:val="000000" w:themeColor="text1"/>
          <w:sz w:val="20"/>
          <w:szCs w:val="20"/>
        </w:rPr>
        <w:t xml:space="preserve">e allegato al presente provvedimento, per un prezzo </w:t>
      </w:r>
      <w:r w:rsidR="00126CAD">
        <w:rPr>
          <w:rFonts w:ascii="Verdana" w:hAnsi="Verdana"/>
          <w:color w:val="000000" w:themeColor="text1"/>
          <w:sz w:val="20"/>
          <w:szCs w:val="20"/>
        </w:rPr>
        <w:t xml:space="preserve">complessivo di </w:t>
      </w:r>
      <w:r w:rsidRPr="00802AFF">
        <w:rPr>
          <w:rFonts w:ascii="Verdana" w:hAnsi="Verdana"/>
          <w:color w:val="000000" w:themeColor="text1"/>
          <w:sz w:val="20"/>
          <w:szCs w:val="20"/>
        </w:rPr>
        <w:t xml:space="preserve">Euro </w:t>
      </w:r>
      <w:r w:rsidR="00486AF8">
        <w:rPr>
          <w:rFonts w:ascii="Verdana" w:hAnsi="Verdana"/>
          <w:color w:val="000000" w:themeColor="text1"/>
          <w:sz w:val="20"/>
          <w:szCs w:val="20"/>
        </w:rPr>
        <w:t>946,00</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5718B86B" w:rsidR="00E23666" w:rsidRPr="00802AFF" w:rsidRDefault="003D4D0A" w:rsidP="00356725">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486AF8">
        <w:rPr>
          <w:rFonts w:ascii="Verdana" w:hAnsi="Verdana"/>
          <w:color w:val="000000" w:themeColor="text1"/>
          <w:sz w:val="20"/>
          <w:szCs w:val="20"/>
        </w:rPr>
        <w:t>SANITALIA CARE SRL</w:t>
      </w:r>
      <w:r w:rsidR="00420D3F">
        <w:rPr>
          <w:rFonts w:ascii="Verdana" w:hAnsi="Verdana"/>
          <w:color w:val="000000" w:themeColor="text1"/>
          <w:sz w:val="20"/>
          <w:szCs w:val="20"/>
        </w:rPr>
        <w:t xml:space="preserve"> </w:t>
      </w:r>
      <w:r w:rsidR="00E23666" w:rsidRPr="00802AFF">
        <w:rPr>
          <w:rFonts w:ascii="Verdana" w:hAnsi="Verdana"/>
          <w:color w:val="000000" w:themeColor="text1"/>
          <w:sz w:val="20"/>
          <w:szCs w:val="20"/>
        </w:rPr>
        <w:t>è in possesso di pregresse e documentate esperienze idonee all’esecuzione delle prestazioni contrattuali;</w:t>
      </w:r>
    </w:p>
    <w:p w14:paraId="0203E635" w14:textId="539CC96A" w:rsidR="00D95807" w:rsidRPr="00617690" w:rsidRDefault="006C0962" w:rsidP="00D95807">
      <w:pPr>
        <w:pStyle w:val="NormaleWeb"/>
        <w:ind w:left="1701"/>
        <w:jc w:val="both"/>
        <w:rPr>
          <w:rFonts w:ascii="Verdana" w:hAnsi="Verdana"/>
          <w:color w:val="000000"/>
          <w:sz w:val="20"/>
          <w:szCs w:val="20"/>
        </w:rPr>
      </w:pPr>
      <w:r>
        <w:rPr>
          <w:rFonts w:ascii="Verdana" w:hAnsi="Verdana"/>
          <w:b/>
          <w:color w:val="000000" w:themeColor="text1"/>
          <w:sz w:val="20"/>
          <w:szCs w:val="20"/>
        </w:rPr>
        <w:t>DATO ATTO</w:t>
      </w:r>
      <w:r>
        <w:rPr>
          <w:rFonts w:ascii="Verdana" w:hAnsi="Verdana"/>
          <w:color w:val="000000" w:themeColor="text1"/>
          <w:sz w:val="20"/>
          <w:szCs w:val="20"/>
        </w:rPr>
        <w:t xml:space="preserve"> che </w:t>
      </w:r>
      <w:r w:rsidR="002B7A43">
        <w:rPr>
          <w:rFonts w:ascii="Verdana" w:hAnsi="Verdana"/>
          <w:color w:val="000000" w:themeColor="text1"/>
          <w:sz w:val="20"/>
          <w:szCs w:val="20"/>
        </w:rPr>
        <w:t xml:space="preserve">non si è derogato al principio di rotazione di cui all’art. 49 del D.Lgs. n. 36/2023 in quanto </w:t>
      </w:r>
      <w:r w:rsidR="00486AF8">
        <w:rPr>
          <w:rFonts w:ascii="Verdana" w:hAnsi="Verdana"/>
          <w:color w:val="000000" w:themeColor="text1"/>
          <w:sz w:val="20"/>
          <w:szCs w:val="20"/>
        </w:rPr>
        <w:t xml:space="preserve">trattasi di fili di sutura per uso chirurgico anche veterinario ad elevato grado di precisione, resistenza ed elasticità e prodotti e commercializzati esclusivamente dall’Azienda predetta ed </w:t>
      </w:r>
      <w:r w:rsidR="00A5515E">
        <w:rPr>
          <w:rFonts w:ascii="Verdana" w:hAnsi="Verdana"/>
          <w:color w:val="000000" w:themeColor="text1"/>
          <w:sz w:val="20"/>
          <w:szCs w:val="20"/>
        </w:rPr>
        <w:t xml:space="preserve">inoltre </w:t>
      </w:r>
      <w:r>
        <w:rPr>
          <w:rFonts w:ascii="Verdana" w:hAnsi="Verdana"/>
          <w:color w:val="000000" w:themeColor="text1"/>
          <w:sz w:val="20"/>
          <w:szCs w:val="20"/>
        </w:rPr>
        <w:t>trattasi di un importo inferiore ai 5.000.00 euro</w:t>
      </w:r>
      <w:r w:rsidR="00D95807">
        <w:rPr>
          <w:rFonts w:ascii="Verdana" w:hAnsi="Verdana"/>
          <w:color w:val="000000" w:themeColor="text1"/>
          <w:sz w:val="20"/>
          <w:szCs w:val="20"/>
        </w:rPr>
        <w:t xml:space="preserve"> pertanto non soggetto ad obbligo MEPA</w:t>
      </w:r>
      <w:r w:rsidR="00E23666" w:rsidRPr="00802AFF">
        <w:rPr>
          <w:rFonts w:ascii="Verdana" w:hAnsi="Verdana"/>
          <w:color w:val="000000" w:themeColor="text1"/>
          <w:sz w:val="20"/>
          <w:szCs w:val="20"/>
        </w:rPr>
        <w:t>;</w:t>
      </w:r>
      <w:r w:rsidR="00D95807" w:rsidRPr="00D95807">
        <w:rPr>
          <w:rFonts w:ascii="Verdana" w:hAnsi="Verdana"/>
          <w:color w:val="FF0000"/>
          <w:sz w:val="20"/>
          <w:szCs w:val="20"/>
        </w:rPr>
        <w:t xml:space="preserve"> </w:t>
      </w:r>
    </w:p>
    <w:p w14:paraId="6743394F" w14:textId="3AEA0AFA" w:rsidR="004331F1" w:rsidRPr="00802AFF" w:rsidRDefault="00041947" w:rsidP="00356725">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356725">
      <w:pPr>
        <w:pStyle w:val="Paragrafoelenco"/>
        <w:ind w:left="1701"/>
        <w:jc w:val="both"/>
        <w:rPr>
          <w:rFonts w:ascii="Verdana" w:hAnsi="Verdana"/>
          <w:color w:val="000000" w:themeColor="text1"/>
          <w:sz w:val="20"/>
          <w:szCs w:val="20"/>
        </w:rPr>
      </w:pPr>
    </w:p>
    <w:p w14:paraId="0FC374D2" w14:textId="62C4FB3A" w:rsidR="00B614F6" w:rsidRPr="00802AFF" w:rsidRDefault="00B614F6" w:rsidP="00356725">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356725">
      <w:pPr>
        <w:ind w:left="1701"/>
        <w:jc w:val="both"/>
        <w:rPr>
          <w:rFonts w:ascii="Verdana" w:hAnsi="Verdana"/>
          <w:color w:val="000000" w:themeColor="text1"/>
          <w:sz w:val="20"/>
          <w:szCs w:val="20"/>
        </w:rPr>
      </w:pPr>
    </w:p>
    <w:p w14:paraId="2754E52C" w14:textId="4783172E" w:rsidR="00041947" w:rsidRPr="00802AFF" w:rsidRDefault="00041947" w:rsidP="00356725">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50A6471F" w:rsidR="00041947" w:rsidRPr="00802AFF" w:rsidRDefault="00631034" w:rsidP="009B24FB">
      <w:pPr>
        <w:pStyle w:val="Default"/>
        <w:ind w:left="2211"/>
        <w:jc w:val="both"/>
        <w:rPr>
          <w:rFonts w:ascii="Verdana" w:hAnsi="Verdana"/>
          <w:color w:val="000000" w:themeColor="text1"/>
          <w:sz w:val="20"/>
          <w:szCs w:val="20"/>
        </w:rPr>
      </w:pPr>
      <w:r w:rsidRPr="00802AFF">
        <w:rPr>
          <w:rFonts w:ascii="Verdana" w:hAnsi="Verdana"/>
          <w:color w:val="000000" w:themeColor="text1"/>
          <w:sz w:val="20"/>
          <w:szCs w:val="20"/>
        </w:rPr>
        <w:t>d</w:t>
      </w:r>
      <w:r w:rsidR="00A2025B" w:rsidRPr="00802AFF">
        <w:rPr>
          <w:rFonts w:ascii="Verdana" w:hAnsi="Verdana"/>
          <w:color w:val="000000" w:themeColor="text1"/>
          <w:sz w:val="20"/>
          <w:szCs w:val="20"/>
        </w:rPr>
        <w:t xml:space="preserve">i </w:t>
      </w:r>
      <w:r w:rsidR="007F6F02" w:rsidRPr="00802AFF">
        <w:rPr>
          <w:rFonts w:ascii="Verdana" w:hAnsi="Verdana"/>
          <w:color w:val="000000" w:themeColor="text1"/>
          <w:sz w:val="20"/>
          <w:szCs w:val="20"/>
        </w:rPr>
        <w:t>affida</w:t>
      </w:r>
      <w:r w:rsidR="00A2025B" w:rsidRPr="00802AFF">
        <w:rPr>
          <w:rFonts w:ascii="Verdana" w:hAnsi="Verdana"/>
          <w:color w:val="000000" w:themeColor="text1"/>
          <w:sz w:val="20"/>
          <w:szCs w:val="20"/>
        </w:rPr>
        <w:t>re direttamente</w:t>
      </w:r>
      <w:r w:rsidR="007F6F02" w:rsidRPr="00802AFF">
        <w:rPr>
          <w:rFonts w:ascii="Verdana" w:hAnsi="Verdana"/>
          <w:color w:val="000000" w:themeColor="text1"/>
          <w:sz w:val="20"/>
          <w:szCs w:val="20"/>
        </w:rPr>
        <w:t xml:space="preserve"> </w:t>
      </w:r>
      <w:r w:rsidR="003D4D0A" w:rsidRPr="00802AFF">
        <w:rPr>
          <w:rFonts w:ascii="Verdana" w:hAnsi="Verdana"/>
          <w:color w:val="000000" w:themeColor="text1"/>
          <w:w w:val="95"/>
          <w:sz w:val="20"/>
          <w:szCs w:val="20"/>
        </w:rPr>
        <w:t xml:space="preserve">la </w:t>
      </w:r>
      <w:r w:rsidR="007F6F02" w:rsidRPr="00802AFF">
        <w:rPr>
          <w:rFonts w:ascii="Verdana" w:hAnsi="Verdana"/>
          <w:color w:val="000000" w:themeColor="text1"/>
          <w:w w:val="95"/>
          <w:sz w:val="20"/>
          <w:szCs w:val="20"/>
        </w:rPr>
        <w:t>fornitura</w:t>
      </w:r>
      <w:r w:rsidR="003D4D0A" w:rsidRPr="00802AFF">
        <w:rPr>
          <w:rFonts w:ascii="Verdana" w:hAnsi="Verdana"/>
          <w:color w:val="000000" w:themeColor="text1"/>
          <w:w w:val="95"/>
          <w:sz w:val="20"/>
          <w:szCs w:val="20"/>
        </w:rPr>
        <w:t xml:space="preserve"> </w:t>
      </w:r>
      <w:r w:rsidR="000620B0">
        <w:rPr>
          <w:rFonts w:ascii="Verdana" w:hAnsi="Verdana"/>
          <w:color w:val="000000" w:themeColor="text1"/>
          <w:w w:val="95"/>
          <w:sz w:val="20"/>
          <w:szCs w:val="20"/>
        </w:rPr>
        <w:t xml:space="preserve">di </w:t>
      </w:r>
      <w:r w:rsidR="00486AF8">
        <w:rPr>
          <w:rFonts w:ascii="Verdana" w:hAnsi="Verdana"/>
          <w:color w:val="000000" w:themeColor="text1"/>
          <w:sz w:val="20"/>
          <w:szCs w:val="20"/>
        </w:rPr>
        <w:t xml:space="preserve">fili di sutura per uso chirurgico di cui all.to preventivo 59/23 del 26.09.2023 alla </w:t>
      </w:r>
      <w:r w:rsidR="00A5515E">
        <w:rPr>
          <w:rFonts w:ascii="Verdana" w:hAnsi="Verdana"/>
          <w:color w:val="000000" w:themeColor="text1"/>
          <w:sz w:val="20"/>
          <w:szCs w:val="20"/>
        </w:rPr>
        <w:t xml:space="preserve">Società </w:t>
      </w:r>
      <w:r w:rsidR="00486AF8">
        <w:rPr>
          <w:rFonts w:ascii="Verdana" w:hAnsi="Verdana"/>
          <w:color w:val="000000" w:themeColor="text1"/>
          <w:sz w:val="20"/>
          <w:szCs w:val="20"/>
        </w:rPr>
        <w:t xml:space="preserve">SANITALIA CARE </w:t>
      </w:r>
      <w:proofErr w:type="spellStart"/>
      <w:r w:rsidR="00486AF8">
        <w:rPr>
          <w:rFonts w:ascii="Verdana" w:hAnsi="Verdana"/>
          <w:color w:val="000000" w:themeColor="text1"/>
          <w:sz w:val="20"/>
          <w:szCs w:val="20"/>
        </w:rPr>
        <w:t>sr</w:t>
      </w:r>
      <w:proofErr w:type="spellEnd"/>
      <w:r w:rsidR="00486AF8">
        <w:rPr>
          <w:rFonts w:ascii="Verdana" w:hAnsi="Verdana"/>
          <w:color w:val="000000" w:themeColor="text1"/>
          <w:sz w:val="20"/>
          <w:szCs w:val="20"/>
        </w:rPr>
        <w:t xml:space="preserve"> con sede in Via </w:t>
      </w:r>
      <w:proofErr w:type="spellStart"/>
      <w:r w:rsidR="00486AF8">
        <w:rPr>
          <w:rFonts w:ascii="Verdana" w:hAnsi="Verdana"/>
          <w:color w:val="000000" w:themeColor="text1"/>
          <w:sz w:val="20"/>
          <w:szCs w:val="20"/>
        </w:rPr>
        <w:t>Rannola</w:t>
      </w:r>
      <w:proofErr w:type="spellEnd"/>
      <w:r w:rsidR="00486AF8">
        <w:rPr>
          <w:rFonts w:ascii="Verdana" w:hAnsi="Verdana"/>
          <w:color w:val="000000" w:themeColor="text1"/>
          <w:sz w:val="20"/>
          <w:szCs w:val="20"/>
        </w:rPr>
        <w:t xml:space="preserve"> n. 7 -80014 </w:t>
      </w:r>
      <w:proofErr w:type="spellStart"/>
      <w:r w:rsidR="00486AF8">
        <w:rPr>
          <w:rFonts w:ascii="Verdana" w:hAnsi="Verdana"/>
          <w:color w:val="000000" w:themeColor="text1"/>
          <w:sz w:val="20"/>
          <w:szCs w:val="20"/>
        </w:rPr>
        <w:t>Gugliano</w:t>
      </w:r>
      <w:proofErr w:type="spellEnd"/>
      <w:r w:rsidR="00486AF8">
        <w:rPr>
          <w:rFonts w:ascii="Verdana" w:hAnsi="Verdana"/>
          <w:color w:val="000000" w:themeColor="text1"/>
          <w:sz w:val="20"/>
          <w:szCs w:val="20"/>
        </w:rPr>
        <w:t xml:space="preserve"> in Campania C.F./PIVA  </w:t>
      </w:r>
      <w:proofErr w:type="gramStart"/>
      <w:r w:rsidR="00D56E62">
        <w:rPr>
          <w:rFonts w:ascii="Verdana" w:hAnsi="Verdana"/>
          <w:color w:val="000000" w:themeColor="text1"/>
          <w:sz w:val="20"/>
          <w:szCs w:val="20"/>
        </w:rPr>
        <w:t>088858731212</w:t>
      </w:r>
      <w:r w:rsidR="00486AF8">
        <w:rPr>
          <w:rFonts w:ascii="Verdana" w:hAnsi="Verdana"/>
          <w:color w:val="000000" w:themeColor="text1"/>
          <w:sz w:val="20"/>
          <w:szCs w:val="20"/>
        </w:rPr>
        <w:t xml:space="preserve"> </w:t>
      </w:r>
      <w:r w:rsidR="007F6F02" w:rsidRPr="00802AFF">
        <w:rPr>
          <w:rFonts w:ascii="Verdana" w:hAnsi="Verdana"/>
          <w:color w:val="000000" w:themeColor="text1"/>
          <w:sz w:val="20"/>
          <w:szCs w:val="20"/>
        </w:rPr>
        <w:t>:</w:t>
      </w:r>
      <w:proofErr w:type="gramEnd"/>
    </w:p>
    <w:p w14:paraId="2AC580D5" w14:textId="1F1FD564" w:rsidR="00C33F7C"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F</w:t>
      </w:r>
      <w:r w:rsidR="00950768">
        <w:rPr>
          <w:rFonts w:ascii="Verdana" w:hAnsi="Verdana"/>
          <w:color w:val="000000" w:themeColor="text1"/>
          <w:sz w:val="20"/>
          <w:szCs w:val="20"/>
        </w:rPr>
        <w:t>ornitura</w:t>
      </w:r>
      <w:r>
        <w:rPr>
          <w:rFonts w:ascii="Verdana" w:hAnsi="Verdana"/>
          <w:color w:val="000000" w:themeColor="text1"/>
          <w:sz w:val="20"/>
          <w:szCs w:val="20"/>
        </w:rPr>
        <w:t xml:space="preserve"> </w:t>
      </w:r>
      <w:r w:rsidR="00D56E62">
        <w:rPr>
          <w:rFonts w:ascii="Verdana" w:hAnsi="Verdana"/>
          <w:color w:val="000000" w:themeColor="text1"/>
          <w:sz w:val="20"/>
          <w:szCs w:val="20"/>
        </w:rPr>
        <w:t xml:space="preserve">fili di </w:t>
      </w:r>
      <w:proofErr w:type="gramStart"/>
      <w:r w:rsidR="00D56E62">
        <w:rPr>
          <w:rFonts w:ascii="Verdana" w:hAnsi="Verdana"/>
          <w:color w:val="000000" w:themeColor="text1"/>
          <w:sz w:val="20"/>
          <w:szCs w:val="20"/>
        </w:rPr>
        <w:t xml:space="preserve">sutura </w:t>
      </w:r>
      <w:r w:rsidR="00A5515E">
        <w:rPr>
          <w:rFonts w:ascii="Verdana" w:hAnsi="Verdana"/>
          <w:color w:val="000000" w:themeColor="text1"/>
          <w:sz w:val="20"/>
          <w:szCs w:val="20"/>
        </w:rPr>
        <w:t xml:space="preserve"> per</w:t>
      </w:r>
      <w:proofErr w:type="gramEnd"/>
      <w:r w:rsidR="00A5515E">
        <w:rPr>
          <w:rFonts w:ascii="Verdana" w:hAnsi="Verdana"/>
          <w:color w:val="000000" w:themeColor="text1"/>
          <w:sz w:val="20"/>
          <w:szCs w:val="20"/>
        </w:rPr>
        <w:t xml:space="preserve"> uso chirurgico di cui all.to preventivo </w:t>
      </w:r>
      <w:r w:rsidR="00D56E62">
        <w:rPr>
          <w:rFonts w:ascii="Verdana" w:hAnsi="Verdana"/>
          <w:color w:val="000000" w:themeColor="text1"/>
          <w:sz w:val="20"/>
          <w:szCs w:val="20"/>
        </w:rPr>
        <w:t>59/23 del 26.09.2023</w:t>
      </w:r>
      <w:r w:rsidR="00A5515E">
        <w:rPr>
          <w:rFonts w:ascii="Verdana" w:hAnsi="Verdana"/>
          <w:color w:val="000000" w:themeColor="text1"/>
          <w:sz w:val="20"/>
          <w:szCs w:val="20"/>
        </w:rPr>
        <w:t xml:space="preserve"> </w:t>
      </w:r>
      <w:r w:rsidR="00F27E63" w:rsidRPr="00F27E63">
        <w:rPr>
          <w:rFonts w:ascii="Verdana" w:hAnsi="Verdana"/>
          <w:b/>
          <w:color w:val="000000" w:themeColor="text1"/>
          <w:sz w:val="20"/>
          <w:szCs w:val="20"/>
        </w:rPr>
        <w:t>euro</w:t>
      </w:r>
      <w:r w:rsidR="00A5515E">
        <w:rPr>
          <w:rFonts w:ascii="Verdana" w:hAnsi="Verdana"/>
          <w:b/>
          <w:color w:val="000000" w:themeColor="text1"/>
          <w:sz w:val="20"/>
          <w:szCs w:val="20"/>
        </w:rPr>
        <w:t xml:space="preserve"> </w:t>
      </w:r>
      <w:r w:rsidR="00D56E62">
        <w:rPr>
          <w:rFonts w:ascii="Verdana" w:hAnsi="Verdana"/>
          <w:b/>
          <w:color w:val="000000" w:themeColor="text1"/>
          <w:sz w:val="20"/>
          <w:szCs w:val="20"/>
        </w:rPr>
        <w:t>946,00</w:t>
      </w:r>
    </w:p>
    <w:p w14:paraId="37DCF4C1" w14:textId="17527950" w:rsidR="00041947"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Iva al 22% euro </w:t>
      </w:r>
      <w:r w:rsidR="00D56E62">
        <w:rPr>
          <w:rFonts w:ascii="Verdana" w:hAnsi="Verdana"/>
          <w:color w:val="000000" w:themeColor="text1"/>
          <w:sz w:val="20"/>
          <w:szCs w:val="20"/>
        </w:rPr>
        <w:t>208,12</w:t>
      </w:r>
    </w:p>
    <w:p w14:paraId="3A1634D7" w14:textId="77777777" w:rsidR="00F27E63" w:rsidRPr="00F27E63" w:rsidRDefault="00F27E63" w:rsidP="00F27E63">
      <w:pPr>
        <w:widowControl w:val="0"/>
        <w:autoSpaceDE w:val="0"/>
        <w:autoSpaceDN w:val="0"/>
        <w:spacing w:before="144"/>
        <w:ind w:left="2126"/>
        <w:rPr>
          <w:rFonts w:ascii="Verdana" w:hAnsi="Verdana"/>
          <w:color w:val="000000" w:themeColor="text1"/>
          <w:sz w:val="20"/>
          <w:szCs w:val="20"/>
        </w:rPr>
      </w:pPr>
    </w:p>
    <w:p w14:paraId="6F22F2E7" w14:textId="6BF2C293" w:rsidR="00041947" w:rsidRPr="00802AFF" w:rsidRDefault="00041947" w:rsidP="00631034">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stimata €</w:t>
      </w:r>
      <w:r w:rsidRPr="00802AFF">
        <w:rPr>
          <w:rFonts w:ascii="Verdana" w:hAnsi="Verdana"/>
          <w:color w:val="000000" w:themeColor="text1"/>
          <w:sz w:val="20"/>
          <w:szCs w:val="20"/>
        </w:rPr>
        <w:t>.</w:t>
      </w:r>
      <w:r w:rsidR="00F27E63">
        <w:rPr>
          <w:rFonts w:ascii="Verdana" w:hAnsi="Verdana"/>
          <w:color w:val="000000" w:themeColor="text1"/>
          <w:sz w:val="20"/>
          <w:szCs w:val="20"/>
        </w:rPr>
        <w:t xml:space="preserve"> </w:t>
      </w:r>
      <w:r w:rsidR="00D56E62">
        <w:rPr>
          <w:rFonts w:ascii="Verdana" w:hAnsi="Verdana"/>
          <w:color w:val="000000" w:themeColor="text1"/>
          <w:sz w:val="20"/>
          <w:szCs w:val="20"/>
        </w:rPr>
        <w:t>1.154,12</w:t>
      </w:r>
      <w:r w:rsidRPr="00802AFF">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6E4766" w:rsidP="00041947">
      <w:pPr>
        <w:widowControl w:val="0"/>
        <w:autoSpaceDE w:val="0"/>
        <w:autoSpaceDN w:val="0"/>
        <w:ind w:left="1701"/>
        <w:jc w:val="both"/>
        <w:rPr>
          <w:rFonts w:ascii="Verdana" w:eastAsia="Calibri" w:hAnsi="Verdana" w:cs="Calibri"/>
          <w:color w:val="000000" w:themeColor="text1"/>
          <w:sz w:val="20"/>
          <w:szCs w:val="20"/>
        </w:rPr>
      </w:pPr>
    </w:p>
    <w:p w14:paraId="259BCBBD" w14:textId="56BE2184"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D56E62">
        <w:rPr>
          <w:rFonts w:ascii="Verdana" w:eastAsia="Calibri" w:hAnsi="Verdana" w:cs="Calibri"/>
          <w:color w:val="000000" w:themeColor="text1"/>
          <w:sz w:val="20"/>
          <w:szCs w:val="20"/>
        </w:rPr>
        <w:t>946,00</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w:t>
      </w:r>
      <w:r w:rsidR="00802AFF">
        <w:rPr>
          <w:rFonts w:ascii="Verdana" w:hAnsi="Verdana" w:cs="Verdana"/>
          <w:b/>
          <w:bCs/>
          <w:color w:val="000000" w:themeColor="text1"/>
          <w:sz w:val="20"/>
          <w:szCs w:val="20"/>
          <w:lang w:eastAsia="zh-CN"/>
        </w:rPr>
        <w:t>-</w:t>
      </w:r>
      <w:r w:rsidR="00802AFF" w:rsidRPr="00802AFF">
        <w:rPr>
          <w:rFonts w:ascii="Verdana" w:hAnsi="Verdana" w:cs="Verdana"/>
          <w:b/>
          <w:bCs/>
          <w:color w:val="000000" w:themeColor="text1"/>
          <w:sz w:val="20"/>
          <w:szCs w:val="20"/>
          <w:lang w:eastAsia="zh-CN"/>
        </w:rPr>
        <w:t xml:space="preserve">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76C50CFC"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F27E63">
        <w:rPr>
          <w:rFonts w:ascii="Verdana" w:hAnsi="Verdana"/>
          <w:color w:val="000000" w:themeColor="text1"/>
          <w:sz w:val="20"/>
          <w:szCs w:val="20"/>
        </w:rPr>
        <w:t xml:space="preserve"> </w:t>
      </w:r>
      <w:r w:rsidR="00A5515E">
        <w:rPr>
          <w:rFonts w:ascii="Verdana" w:hAnsi="Verdana"/>
          <w:color w:val="000000" w:themeColor="text1"/>
          <w:sz w:val="20"/>
          <w:szCs w:val="20"/>
        </w:rPr>
        <w:t>11.10.2023</w:t>
      </w:r>
    </w:p>
    <w:p w14:paraId="57A043CE" w14:textId="7DFD4403"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43BE" w14:textId="77777777" w:rsidR="006E4766" w:rsidRDefault="006E4766" w:rsidP="005C2BD2">
      <w:r>
        <w:separator/>
      </w:r>
    </w:p>
  </w:endnote>
  <w:endnote w:type="continuationSeparator" w:id="0">
    <w:p w14:paraId="0A549A73" w14:textId="77777777" w:rsidR="006E4766" w:rsidRDefault="006E4766"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E8F3" w14:textId="77777777" w:rsidR="006E4766" w:rsidRDefault="006E4766" w:rsidP="005C2BD2">
      <w:r>
        <w:separator/>
      </w:r>
    </w:p>
  </w:footnote>
  <w:footnote w:type="continuationSeparator" w:id="0">
    <w:p w14:paraId="38980533" w14:textId="77777777" w:rsidR="006E4766" w:rsidRDefault="006E4766"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6E4766">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6E4766">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6E4766">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1E2D"/>
    <w:rsid w:val="000147F7"/>
    <w:rsid w:val="00015844"/>
    <w:rsid w:val="000305E6"/>
    <w:rsid w:val="00041947"/>
    <w:rsid w:val="000429AA"/>
    <w:rsid w:val="000545C9"/>
    <w:rsid w:val="000615D9"/>
    <w:rsid w:val="000620B0"/>
    <w:rsid w:val="0009133E"/>
    <w:rsid w:val="00094568"/>
    <w:rsid w:val="000C37D4"/>
    <w:rsid w:val="000E0D86"/>
    <w:rsid w:val="0010041F"/>
    <w:rsid w:val="00105273"/>
    <w:rsid w:val="0010795E"/>
    <w:rsid w:val="00115750"/>
    <w:rsid w:val="00117E19"/>
    <w:rsid w:val="00121708"/>
    <w:rsid w:val="00126CAD"/>
    <w:rsid w:val="00136891"/>
    <w:rsid w:val="00146E9C"/>
    <w:rsid w:val="001645A1"/>
    <w:rsid w:val="001805C9"/>
    <w:rsid w:val="001950CB"/>
    <w:rsid w:val="001B3742"/>
    <w:rsid w:val="001D03C5"/>
    <w:rsid w:val="001D678B"/>
    <w:rsid w:val="001E066A"/>
    <w:rsid w:val="00222EBD"/>
    <w:rsid w:val="00223CB4"/>
    <w:rsid w:val="00242EDF"/>
    <w:rsid w:val="0024790E"/>
    <w:rsid w:val="00263881"/>
    <w:rsid w:val="002669D6"/>
    <w:rsid w:val="00281212"/>
    <w:rsid w:val="00287D82"/>
    <w:rsid w:val="00296A49"/>
    <w:rsid w:val="002B6DF4"/>
    <w:rsid w:val="002B7A43"/>
    <w:rsid w:val="002D1D1D"/>
    <w:rsid w:val="002E30D3"/>
    <w:rsid w:val="002F43C4"/>
    <w:rsid w:val="002F5FC4"/>
    <w:rsid w:val="00300862"/>
    <w:rsid w:val="00306D01"/>
    <w:rsid w:val="00332F12"/>
    <w:rsid w:val="00335372"/>
    <w:rsid w:val="00356322"/>
    <w:rsid w:val="00356725"/>
    <w:rsid w:val="003B6CAA"/>
    <w:rsid w:val="003C5F6A"/>
    <w:rsid w:val="003D15FD"/>
    <w:rsid w:val="003D4636"/>
    <w:rsid w:val="003D4D0A"/>
    <w:rsid w:val="003F3D7D"/>
    <w:rsid w:val="00410D18"/>
    <w:rsid w:val="00414C83"/>
    <w:rsid w:val="00414F1A"/>
    <w:rsid w:val="00420D3F"/>
    <w:rsid w:val="004331F1"/>
    <w:rsid w:val="0043370F"/>
    <w:rsid w:val="00441B5B"/>
    <w:rsid w:val="004552EA"/>
    <w:rsid w:val="00461897"/>
    <w:rsid w:val="004848C6"/>
    <w:rsid w:val="00486AF8"/>
    <w:rsid w:val="004C4041"/>
    <w:rsid w:val="004C44FF"/>
    <w:rsid w:val="004D6B2E"/>
    <w:rsid w:val="004E5E7E"/>
    <w:rsid w:val="0053096A"/>
    <w:rsid w:val="00531B3A"/>
    <w:rsid w:val="005340EC"/>
    <w:rsid w:val="005510BD"/>
    <w:rsid w:val="0057596D"/>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C0962"/>
    <w:rsid w:val="006E2145"/>
    <w:rsid w:val="006E4766"/>
    <w:rsid w:val="006E5BC3"/>
    <w:rsid w:val="006F7AE2"/>
    <w:rsid w:val="007005F7"/>
    <w:rsid w:val="00744025"/>
    <w:rsid w:val="007656EE"/>
    <w:rsid w:val="007858D9"/>
    <w:rsid w:val="007A2DA3"/>
    <w:rsid w:val="007C37B2"/>
    <w:rsid w:val="007F6F02"/>
    <w:rsid w:val="00800680"/>
    <w:rsid w:val="00802AFF"/>
    <w:rsid w:val="008048F2"/>
    <w:rsid w:val="008230F8"/>
    <w:rsid w:val="00825854"/>
    <w:rsid w:val="00831293"/>
    <w:rsid w:val="00840990"/>
    <w:rsid w:val="00843F85"/>
    <w:rsid w:val="0084677F"/>
    <w:rsid w:val="0088514D"/>
    <w:rsid w:val="0089469B"/>
    <w:rsid w:val="008D465D"/>
    <w:rsid w:val="008D7000"/>
    <w:rsid w:val="008E272F"/>
    <w:rsid w:val="00902464"/>
    <w:rsid w:val="00927E8C"/>
    <w:rsid w:val="00930D90"/>
    <w:rsid w:val="00941AA9"/>
    <w:rsid w:val="009430E2"/>
    <w:rsid w:val="00950768"/>
    <w:rsid w:val="00955F3B"/>
    <w:rsid w:val="009632FD"/>
    <w:rsid w:val="00976B91"/>
    <w:rsid w:val="00980658"/>
    <w:rsid w:val="009806F3"/>
    <w:rsid w:val="00982251"/>
    <w:rsid w:val="0098428B"/>
    <w:rsid w:val="00984801"/>
    <w:rsid w:val="009B24FB"/>
    <w:rsid w:val="009D7127"/>
    <w:rsid w:val="009E5FA8"/>
    <w:rsid w:val="009F31C5"/>
    <w:rsid w:val="00A2025B"/>
    <w:rsid w:val="00A225E5"/>
    <w:rsid w:val="00A25128"/>
    <w:rsid w:val="00A5515E"/>
    <w:rsid w:val="00A764AE"/>
    <w:rsid w:val="00A86B91"/>
    <w:rsid w:val="00A8784F"/>
    <w:rsid w:val="00A92AA9"/>
    <w:rsid w:val="00A93F4C"/>
    <w:rsid w:val="00AB7442"/>
    <w:rsid w:val="00AC52C8"/>
    <w:rsid w:val="00B26479"/>
    <w:rsid w:val="00B34038"/>
    <w:rsid w:val="00B42183"/>
    <w:rsid w:val="00B4510F"/>
    <w:rsid w:val="00B45F0E"/>
    <w:rsid w:val="00B614F6"/>
    <w:rsid w:val="00B85849"/>
    <w:rsid w:val="00B90FBF"/>
    <w:rsid w:val="00B91007"/>
    <w:rsid w:val="00BA42FF"/>
    <w:rsid w:val="00BB6CA0"/>
    <w:rsid w:val="00BD2BE5"/>
    <w:rsid w:val="00BD55C9"/>
    <w:rsid w:val="00BE2A65"/>
    <w:rsid w:val="00BF18F8"/>
    <w:rsid w:val="00C11DB5"/>
    <w:rsid w:val="00C1447C"/>
    <w:rsid w:val="00C1553A"/>
    <w:rsid w:val="00C2049E"/>
    <w:rsid w:val="00C33F7C"/>
    <w:rsid w:val="00C43BB3"/>
    <w:rsid w:val="00C62C0C"/>
    <w:rsid w:val="00C63F2D"/>
    <w:rsid w:val="00C7117F"/>
    <w:rsid w:val="00C74686"/>
    <w:rsid w:val="00C8111B"/>
    <w:rsid w:val="00CC37BC"/>
    <w:rsid w:val="00CD24C6"/>
    <w:rsid w:val="00CF1EA3"/>
    <w:rsid w:val="00CF3111"/>
    <w:rsid w:val="00D1583E"/>
    <w:rsid w:val="00D175B3"/>
    <w:rsid w:val="00D207E7"/>
    <w:rsid w:val="00D33576"/>
    <w:rsid w:val="00D56E62"/>
    <w:rsid w:val="00D659FF"/>
    <w:rsid w:val="00D67348"/>
    <w:rsid w:val="00D70358"/>
    <w:rsid w:val="00D95807"/>
    <w:rsid w:val="00DA1ADB"/>
    <w:rsid w:val="00DB2B68"/>
    <w:rsid w:val="00DD4F41"/>
    <w:rsid w:val="00DE4A69"/>
    <w:rsid w:val="00DF1B9D"/>
    <w:rsid w:val="00E05C65"/>
    <w:rsid w:val="00E06FFB"/>
    <w:rsid w:val="00E16032"/>
    <w:rsid w:val="00E23666"/>
    <w:rsid w:val="00E36691"/>
    <w:rsid w:val="00E40E76"/>
    <w:rsid w:val="00E57ADA"/>
    <w:rsid w:val="00E73F71"/>
    <w:rsid w:val="00E95410"/>
    <w:rsid w:val="00EA2F14"/>
    <w:rsid w:val="00EF0D43"/>
    <w:rsid w:val="00F04026"/>
    <w:rsid w:val="00F13AC0"/>
    <w:rsid w:val="00F15A6C"/>
    <w:rsid w:val="00F27588"/>
    <w:rsid w:val="00F27E63"/>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paragraph" w:customStyle="1" w:styleId="Default">
    <w:name w:val="Default"/>
    <w:rsid w:val="00950768"/>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0F12B-A6D9-49E3-9A56-B3DBED46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2023-09-28T06:57:00Z</cp:lastPrinted>
  <dcterms:created xsi:type="dcterms:W3CDTF">2023-10-11T10:39:00Z</dcterms:created>
  <dcterms:modified xsi:type="dcterms:W3CDTF">2023-10-11T10:39:00Z</dcterms:modified>
</cp:coreProperties>
</file>